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/>
          <w:b/>
          <w:color w:val="0B2545"/>
          <w:sz w:val="36"/>
        </w:rPr>
        <w:t>DAVID (DREW) GROVES</w:t>
      </w:r>
    </w:p>
    <w:p>
      <w:pPr>
        <w:spacing w:after="80"/>
        <w:jc w:val="center"/>
      </w:pPr>
      <w:r>
        <w:rPr>
          <w:rFonts w:ascii="Arial" w:hAnsi="Arial"/>
          <w:b w:val="0"/>
          <w:sz w:val="18"/>
        </w:rPr>
        <w:t>Killeen, TX | davidandrewgroves0@gmail.com | +1 (220) 264-0646 | linkedin.com/in/davidagroves</w:t>
      </w:r>
    </w:p>
    <w:p>
      <w:pPr>
        <w:spacing w:after="120"/>
        <w:jc w:val="center"/>
      </w:pPr>
      <w:r>
        <w:rPr>
          <w:rFonts w:ascii="Arial" w:hAnsi="Arial"/>
          <w:b/>
          <w:sz w:val="22"/>
        </w:rPr>
        <w:t>CUSTOMER SUCCESS MANAGER — MID-MARKET</w:t>
      </w:r>
    </w:p>
    <w:p>
      <w:pPr>
        <w:spacing w:after="20"/>
      </w:pPr>
      <w:r>
        <w:rPr>
          <w:rFonts w:ascii="Arial" w:hAnsi="Arial"/>
          <w:b/>
          <w:sz w:val="21"/>
        </w:rPr>
        <w:t>SUMMARY</w:t>
      </w:r>
    </w:p>
    <w:p>
      <w:pPr>
        <w:spacing w:after="80"/>
      </w:pPr>
      <w:r>
        <w:rPr>
          <w:rFonts w:ascii="Arial" w:hAnsi="Arial"/>
          <w:b w:val="0"/>
          <w:sz w:val="19"/>
        </w:rPr>
        <w:t>Customer Success Manager with 4+ years of B2B SaaS experience managing high-volume portfolios across the post-sale lifecycle. Track record of improving adoption, identifying risk, coordinating renewals and expansion, and delivering scalable customer engagement grounded in practical workflow guidance.</w:t>
      </w:r>
    </w:p>
    <w:p>
      <w:pPr>
        <w:spacing w:after="20"/>
      </w:pPr>
      <w:r>
        <w:rPr>
          <w:rFonts w:ascii="Arial" w:hAnsi="Arial"/>
          <w:b/>
          <w:sz w:val="21"/>
        </w:rPr>
        <w:t>CORE STRENGTHS</w:t>
      </w:r>
    </w:p>
    <w:p>
      <w:pPr>
        <w:spacing w:after="80"/>
      </w:pPr>
      <w:r>
        <w:rPr>
          <w:rFonts w:ascii="Arial" w:hAnsi="Arial"/>
          <w:b w:val="0"/>
          <w:sz w:val="18"/>
        </w:rPr>
        <w:t>High-Volume Portfolio Management • Customer Lifecycle Management • Adoption &amp; Value Realization • Customer Health &amp; Risk • Renewal &amp; Expansion Partnership • Success Planning • Scaled Customer Engagement • Customer Enablement • Salesforce • Catalyst • CRM Integrations</w:t>
      </w:r>
    </w:p>
    <w:p>
      <w:pPr>
        <w:spacing w:after="20"/>
      </w:pPr>
      <w:r>
        <w:rPr>
          <w:rFonts w:ascii="Arial" w:hAnsi="Arial"/>
          <w:b/>
          <w:sz w:val="21"/>
        </w:rPr>
        <w:t>PROFESSIONAL EXPERIENCE</w:t>
      </w:r>
    </w:p>
    <w:p>
      <w:pPr>
        <w:spacing w:before="100" w:after="20"/>
      </w:pPr>
      <w:r>
        <w:rPr>
          <w:rFonts w:ascii="Arial" w:hAnsi="Arial"/>
          <w:b/>
          <w:sz w:val="21"/>
        </w:rPr>
        <w:t>Customer Success Manager, Enterprise</w:t>
      </w:r>
      <w:r>
        <w:rPr>
          <w:rFonts w:ascii="Arial" w:hAnsi="Arial"/>
          <w:sz w:val="20"/>
        </w:rPr>
        <w:t xml:space="preserve"> | PandaDoc — Remote | Nov 2022–Feb 2026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Managed a $6M+ ARR portfolio of 120+ B2B SaaS accounts; partnered with Account Management to achieve 103%+ quarterly NDR, including multiple 105–106% quarters.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Owned recurring account engagement through reviews, success planning, stakeholder alignment, customer-health monitoring, and proactive risk identification across a high-volume book.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Prioritized outreach using adoption and account signals, balancing strategic 1:1 engagement with recurring enablement and scalable asynchronous communication.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Advised champions, administrators, and end users on templates, approvals, CRM integrations, and workflow design to improve adoption, efficiency, and value realization.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Partnered across Account Management, Support, Product, Solutions Engineering, and implementation teams to resolve blockers, protect account health, and surface expansion opportunities.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Re-engaged an under-adopted customer from 4 to 60 weekly active users, adding 21 licenses and growing ARR from $120K to $150K.</w:t>
      </w:r>
    </w:p>
    <w:p>
      <w:pPr>
        <w:spacing w:before="100" w:after="20"/>
      </w:pPr>
      <w:r>
        <w:rPr>
          <w:rFonts w:ascii="Arial" w:hAnsi="Arial"/>
          <w:b/>
          <w:sz w:val="21"/>
        </w:rPr>
        <w:t>Onboarding Specialist</w:t>
      </w:r>
      <w:r>
        <w:rPr>
          <w:rFonts w:ascii="Arial" w:hAnsi="Arial"/>
          <w:sz w:val="20"/>
        </w:rPr>
        <w:t xml:space="preserve"> | PandaDoc — Remote | Nov 2021–Nov 2022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Onboarded 300+ customers through discovery, configuration, CRM and business-tool integrations, template migration/conversion, training, and handoff.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Simplified onboarding documentation and delivery with the broader team, reducing average time-to-value from 90 to 45 days; led recurring enablement across the Americas, Europe, and APAC.</w:t>
      </w:r>
    </w:p>
    <w:p>
      <w:pPr>
        <w:spacing w:before="100" w:after="20"/>
      </w:pPr>
      <w:r>
        <w:rPr>
          <w:rFonts w:ascii="Arial" w:hAnsi="Arial"/>
          <w:b/>
          <w:sz w:val="21"/>
        </w:rPr>
        <w:t>Business Development Intern</w:t>
      </w:r>
      <w:r>
        <w:rPr>
          <w:rFonts w:ascii="Arial" w:hAnsi="Arial"/>
          <w:sz w:val="20"/>
        </w:rPr>
        <w:t xml:space="preserve"> | Ramblin Jackson — Remote | Jun 2021–Oct 2021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Generated pipeline through LinkedIn, cold calling, email outreach, and consultative discovery; completed 1,000+ prospect calls and qualified interested leads for handoff.</w:t>
      </w:r>
    </w:p>
    <w:p>
      <w:pPr>
        <w:spacing w:before="100" w:after="20"/>
      </w:pPr>
      <w:r>
        <w:rPr>
          <w:rFonts w:ascii="Arial" w:hAnsi="Arial"/>
          <w:b/>
          <w:sz w:val="21"/>
        </w:rPr>
        <w:t>Assistant Store Manager</w:t>
      </w:r>
      <w:r>
        <w:rPr>
          <w:rFonts w:ascii="Arial" w:hAnsi="Arial"/>
          <w:sz w:val="20"/>
        </w:rPr>
        <w:t xml:space="preserve"> | Panera Bread — Columbus, OH | Jan 2015–Jun 2021</w:t>
      </w:r>
    </w:p>
    <w:p>
      <w:pPr>
        <w:pStyle w:val="ListBullet"/>
        <w:spacing w:after="40"/>
        <w:ind w:left="288" w:hanging="216"/>
      </w:pPr>
      <w:r>
        <w:rPr>
          <w:rFonts w:ascii="Arial" w:hAnsi="Arial"/>
          <w:sz w:val="18"/>
        </w:rPr>
        <w:t>Led daily operations, hiring, training, scheduling, and customer issue resolution; built staffing to approximately 40–45 employees and supported new or stabilizing cafés through Pro Team assignments.</w:t>
      </w:r>
    </w:p>
    <w:p>
      <w:pPr>
        <w:spacing w:after="20"/>
      </w:pPr>
      <w:r>
        <w:rPr>
          <w:rFonts w:ascii="Arial" w:hAnsi="Arial"/>
          <w:b/>
          <w:sz w:val="21"/>
        </w:rPr>
        <w:t>EDUCATION &amp; CREDENTIALS</w:t>
      </w:r>
    </w:p>
    <w:p>
      <w:pPr>
        <w:spacing w:after="0"/>
      </w:pPr>
      <w:r>
        <w:rPr>
          <w:rFonts w:ascii="Arial" w:hAnsi="Arial"/>
          <w:b w:val="0"/>
          <w:sz w:val="18"/>
        </w:rPr>
        <w:t>Praxis (Discover Praxis), Certificate of Graduation, 2021 | ServSafe Manager Certification</w:t>
      </w:r>
    </w:p>
    <w:sectPr w:rsidR="00FC693F" w:rsidRPr="0006063C" w:rsidSect="00034616">
      <w:pgSz w:w="12240" w:h="15840"/>
      <w:pgMar w:top="720" w:right="893" w:bottom="720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