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color w:val="0B2545"/>
          <w:sz w:val="36"/>
        </w:rPr>
        <w:t>DAVID (DREW) GROVES</w:t>
      </w:r>
    </w:p>
    <w:p>
      <w:pPr>
        <w:spacing w:after="80"/>
        <w:jc w:val="center"/>
      </w:pPr>
      <w:r>
        <w:rPr>
          <w:rFonts w:ascii="Arial" w:hAnsi="Arial"/>
          <w:b w:val="0"/>
          <w:sz w:val="18"/>
        </w:rPr>
        <w:t>Killeen, TX | davidandrewgroves0@gmail.com | +1 (220) 264-0646 | linkedin.com/in/davidagroves</w:t>
      </w:r>
    </w:p>
    <w:p>
      <w:pPr>
        <w:spacing w:after="120"/>
        <w:jc w:val="center"/>
      </w:pPr>
      <w:r>
        <w:rPr>
          <w:rFonts w:ascii="Arial" w:hAnsi="Arial"/>
          <w:b/>
          <w:sz w:val="22"/>
        </w:rPr>
        <w:t>ENTERPRISE CUSTOMER SUCCESS MANAGER</w:t>
      </w:r>
    </w:p>
    <w:p>
      <w:pPr>
        <w:spacing w:after="20"/>
      </w:pPr>
      <w:r>
        <w:rPr>
          <w:rFonts w:ascii="Arial" w:hAnsi="Arial"/>
          <w:b/>
          <w:sz w:val="21"/>
        </w:rPr>
        <w:t>SUMMARY</w:t>
      </w:r>
    </w:p>
    <w:p>
      <w:pPr>
        <w:spacing w:after="80"/>
      </w:pPr>
      <w:r>
        <w:rPr>
          <w:rFonts w:ascii="Arial" w:hAnsi="Arial"/>
          <w:b w:val="0"/>
          <w:sz w:val="19"/>
        </w:rPr>
        <w:t>Enterprise Customer Success Manager with 4+ years of B2B SaaS experience managing complex customer portfolios across the full post-sale lifecycle. Strengths include executive engagement, adoption and value realization, customer health and risk management, renewal partnership, and expansion strategy.</w:t>
      </w:r>
    </w:p>
    <w:p>
      <w:pPr>
        <w:spacing w:after="20"/>
      </w:pPr>
      <w:r>
        <w:rPr>
          <w:rFonts w:ascii="Arial" w:hAnsi="Arial"/>
          <w:b/>
          <w:sz w:val="21"/>
        </w:rPr>
        <w:t>CORE STRENGTHS</w:t>
      </w:r>
    </w:p>
    <w:p>
      <w:pPr>
        <w:spacing w:after="80"/>
      </w:pPr>
      <w:r>
        <w:rPr>
          <w:rFonts w:ascii="Arial" w:hAnsi="Arial"/>
          <w:b w:val="0"/>
          <w:sz w:val="18"/>
        </w:rPr>
        <w:t>Customer Lifecycle Management • Executive Business Reviews • Success Planning • Customer Health &amp; Risk • Adoption &amp; Value Realization • Renewal &amp; Expansion Partnership • SaaS Workflow Consulting • Salesforce • Catalyst • CPQ &amp; CRM Integrations</w:t>
      </w:r>
    </w:p>
    <w:p>
      <w:pPr>
        <w:spacing w:after="20"/>
      </w:pPr>
      <w:r>
        <w:rPr>
          <w:rFonts w:ascii="Arial" w:hAnsi="Arial"/>
          <w:b/>
          <w:sz w:val="21"/>
        </w:rPr>
        <w:t>PROFESSIONAL EXPERIENCE</w:t>
      </w:r>
    </w:p>
    <w:p>
      <w:pPr>
        <w:spacing w:before="100" w:after="20"/>
      </w:pPr>
      <w:r>
        <w:rPr>
          <w:rFonts w:ascii="Arial" w:hAnsi="Arial"/>
          <w:b/>
          <w:sz w:val="21"/>
        </w:rPr>
        <w:t>Customer Success Manager, Enterprise</w:t>
      </w:r>
      <w:r>
        <w:rPr>
          <w:rFonts w:ascii="Arial" w:hAnsi="Arial"/>
          <w:sz w:val="20"/>
        </w:rPr>
        <w:t xml:space="preserve"> | PandaDoc — Remote | Nov 2022–Feb 2026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Managed a $6M+ ARR enterprise portfolio of 120+ accounts; partnered with Account Management to achieve 103%+ quarterly NDR, including multiple 105–106% quarters.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Led executive business reviews, success planning, and multi-threaded engagement with C-suite leaders, administrators, and end users across complex customer organizations.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Drove adoption and value realization through usage analysis, workflow consultations, enablement, and proactive risk identification; coordinated renewal and expansion strategy with Account Management.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Orchestrated customer initiatives across Product, Support, Technical Account Management, Solutions Engineering, and implementation teams to resolve blockers and align platform capabilities with business outcomes.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Recovered a high-risk enterprise legal account through General Counsel discovery and structured Product/TAM coordination; retained the footprint and added 60 licenses, increasing ARR from $240K to $280K.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Redesigned approvals across three acquired companies, cutting turnaround from 80–100 hours to ~4 hours and increasing monthly contract volume from ~15 to ~35.</w:t>
      </w:r>
    </w:p>
    <w:p>
      <w:pPr>
        <w:spacing w:before="100" w:after="20"/>
      </w:pPr>
      <w:r>
        <w:rPr>
          <w:rFonts w:ascii="Arial" w:hAnsi="Arial"/>
          <w:b/>
          <w:sz w:val="21"/>
        </w:rPr>
        <w:t>Onboarding Specialist</w:t>
      </w:r>
      <w:r>
        <w:rPr>
          <w:rFonts w:ascii="Arial" w:hAnsi="Arial"/>
          <w:sz w:val="20"/>
        </w:rPr>
        <w:t xml:space="preserve"> | PandaDoc — Remote | Nov 2021–Nov 2022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Onboarded 300+ customers through discovery, configuration, integrations short of APIs, template migration/conversion, training, and handoff.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Simplified onboarding documentation and delivery with the broader team, reducing average time-to-value from 90 to 45 days; led recurring enablement across the Americas, Europe, and APAC.</w:t>
      </w:r>
    </w:p>
    <w:p>
      <w:pPr>
        <w:spacing w:before="100" w:after="20"/>
      </w:pPr>
      <w:r>
        <w:rPr>
          <w:rFonts w:ascii="Arial" w:hAnsi="Arial"/>
          <w:b/>
          <w:sz w:val="21"/>
        </w:rPr>
        <w:t>Business Development Intern</w:t>
      </w:r>
      <w:r>
        <w:rPr>
          <w:rFonts w:ascii="Arial" w:hAnsi="Arial"/>
          <w:sz w:val="20"/>
        </w:rPr>
        <w:t xml:space="preserve"> | Ramblin Jackson — Remote | Jun 2021–Oct 2021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Generated pipeline through LinkedIn, cold calling, email outreach, and consultative discovery; completed 1,000+ prospect calls and qualified interested leads for handoff.</w:t>
      </w:r>
    </w:p>
    <w:p>
      <w:pPr>
        <w:spacing w:before="100" w:after="20"/>
      </w:pPr>
      <w:r>
        <w:rPr>
          <w:rFonts w:ascii="Arial" w:hAnsi="Arial"/>
          <w:b/>
          <w:sz w:val="21"/>
        </w:rPr>
        <w:t>Assistant Store Manager</w:t>
      </w:r>
      <w:r>
        <w:rPr>
          <w:rFonts w:ascii="Arial" w:hAnsi="Arial"/>
          <w:sz w:val="20"/>
        </w:rPr>
        <w:t xml:space="preserve"> | Panera Bread — Columbus, OH | Jan 2015–Jun 2021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Led daily operations, hiring, training, scheduling, and customer issue resolution; built staffing to approximately 40–45 employees and supported new or stabilizing cafés through Pro Team assignments.</w:t>
      </w:r>
    </w:p>
    <w:p>
      <w:pPr>
        <w:spacing w:after="20"/>
      </w:pPr>
      <w:r>
        <w:rPr>
          <w:rFonts w:ascii="Arial" w:hAnsi="Arial"/>
          <w:b/>
          <w:sz w:val="21"/>
        </w:rPr>
        <w:t>EDUCATION &amp; CREDENTIALS</w:t>
      </w:r>
    </w:p>
    <w:p>
      <w:pPr>
        <w:spacing w:after="0"/>
      </w:pPr>
      <w:r>
        <w:rPr>
          <w:rFonts w:ascii="Arial" w:hAnsi="Arial"/>
          <w:b w:val="0"/>
          <w:sz w:val="18"/>
        </w:rPr>
        <w:t>Praxis (Discover Praxis), Certificate of Graduation, 2021 | ServSafe Manager Certification</w:t>
      </w:r>
    </w:p>
    <w:sectPr w:rsidR="00FC693F" w:rsidRPr="0006063C" w:rsidSect="00034616">
      <w:pgSz w:w="12240" w:h="15840"/>
      <w:pgMar w:top="720" w:right="893" w:bottom="720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